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8FAA7" w14:textId="77777777" w:rsidR="002415DE" w:rsidRDefault="002415DE" w:rsidP="002415DE">
      <w:pPr>
        <w:rPr>
          <w:rFonts w:cs="Arial"/>
          <w:b/>
          <w:sz w:val="28"/>
          <w:szCs w:val="28"/>
        </w:rPr>
      </w:pPr>
    </w:p>
    <w:p w14:paraId="5CD4CBD5" w14:textId="77777777" w:rsidR="003D4436" w:rsidRPr="0092054D" w:rsidRDefault="003D4436" w:rsidP="003D4436">
      <w:pPr>
        <w:spacing w:after="120" w:line="240" w:lineRule="auto"/>
        <w:contextualSpacing/>
        <w:jc w:val="both"/>
        <w:rPr>
          <w:rFonts w:eastAsia="Times New Roman" w:cs="Calibri"/>
          <w:b/>
          <w:sz w:val="28"/>
          <w:szCs w:val="28"/>
          <w:lang w:eastAsia="en-GB"/>
        </w:rPr>
      </w:pPr>
      <w:r w:rsidRPr="0092054D">
        <w:rPr>
          <w:rFonts w:eastAsia="Times New Roman" w:cs="Calibri"/>
          <w:b/>
          <w:sz w:val="28"/>
          <w:szCs w:val="28"/>
          <w:lang w:eastAsia="en-GB"/>
        </w:rPr>
        <w:t xml:space="preserve">Introducing the </w:t>
      </w:r>
      <w:r>
        <w:rPr>
          <w:rFonts w:eastAsia="Times New Roman" w:cs="Calibri"/>
          <w:b/>
          <w:sz w:val="28"/>
          <w:szCs w:val="28"/>
          <w:lang w:eastAsia="en-GB"/>
        </w:rPr>
        <w:t>Dukes</w:t>
      </w:r>
      <w:r w:rsidRPr="0092054D">
        <w:rPr>
          <w:rFonts w:eastAsia="Times New Roman" w:cs="Calibri"/>
          <w:b/>
          <w:sz w:val="28"/>
          <w:szCs w:val="28"/>
          <w:lang w:eastAsia="en-GB"/>
        </w:rPr>
        <w:t xml:space="preserve"> </w:t>
      </w:r>
    </w:p>
    <w:p w14:paraId="6A9C96A6" w14:textId="20965FF2" w:rsidR="003D4436" w:rsidRPr="00262435" w:rsidRDefault="003D4436" w:rsidP="003D4436">
      <w:pPr>
        <w:tabs>
          <w:tab w:val="left" w:pos="6237"/>
        </w:tabs>
        <w:spacing w:after="200"/>
      </w:pPr>
      <w:r w:rsidRPr="00262435">
        <w:t>The Dukes was founded in 1971 as the only producing theatre in Lancashire. In 2019</w:t>
      </w:r>
      <w:r w:rsidR="004C3491">
        <w:t xml:space="preserve">, </w:t>
      </w:r>
      <w:r w:rsidRPr="00262435">
        <w:t xml:space="preserve">The Dukes entered a period of transition into a more focused and streamlined organisation committed to bringing high quality live performance and cinema, creative engagement and audience experience to Lancashire. </w:t>
      </w:r>
    </w:p>
    <w:p w14:paraId="144C4A34" w14:textId="57630E54" w:rsidR="003D4436" w:rsidRDefault="003D4436" w:rsidP="003D4436">
      <w:pPr>
        <w:tabs>
          <w:tab w:val="left" w:pos="6237"/>
        </w:tabs>
        <w:spacing w:after="200"/>
      </w:pPr>
      <w:r w:rsidRPr="00262435">
        <w:t>The Dukes has two core performance spaces, The Rake and The Round. The Rake is a traditional end on theatre and cinema space seating 313</w:t>
      </w:r>
      <w:r w:rsidR="004C3491">
        <w:t>,</w:t>
      </w:r>
      <w:r w:rsidRPr="00262435">
        <w:t xml:space="preserve"> whilst The Round is a unique purpose built in the round theatre space with 234 seats. Both spaces are used for both live performance and cinema. </w:t>
      </w:r>
      <w:r w:rsidR="00100835" w:rsidRPr="00262435">
        <w:t>Additional</w:t>
      </w:r>
      <w:r w:rsidR="00100835">
        <w:t>ly,</w:t>
      </w:r>
      <w:r w:rsidRPr="00262435">
        <w:t xml:space="preserve"> </w:t>
      </w:r>
      <w:r w:rsidR="00100835">
        <w:t>T</w:t>
      </w:r>
      <w:r w:rsidRPr="00262435">
        <w:t xml:space="preserve">he Dukes has developed the </w:t>
      </w:r>
      <w:r w:rsidR="004C3491">
        <w:t>C</w:t>
      </w:r>
      <w:r w:rsidRPr="00262435">
        <w:t xml:space="preserve">reative </w:t>
      </w:r>
      <w:r w:rsidR="004C3491">
        <w:t>L</w:t>
      </w:r>
      <w:r w:rsidRPr="00262435">
        <w:t>earning building into Moor</w:t>
      </w:r>
      <w:r w:rsidR="00100835">
        <w:t xml:space="preserve"> </w:t>
      </w:r>
      <w:r w:rsidRPr="00262435">
        <w:t xml:space="preserve">Space, a venue focused on creative engagement and hosting small-scale contemporary theatre focused on emerging and solo artists. </w:t>
      </w:r>
    </w:p>
    <w:p w14:paraId="4DC775F2" w14:textId="27543FA8" w:rsidR="003D4436" w:rsidRPr="00262435" w:rsidRDefault="003D4436" w:rsidP="003D4436">
      <w:pPr>
        <w:tabs>
          <w:tab w:val="left" w:pos="6237"/>
        </w:tabs>
        <w:spacing w:after="200"/>
      </w:pPr>
      <w:r w:rsidRPr="00262435">
        <w:t xml:space="preserve">As part of the Dukes transformation the theatre is moving from a traditional producing theatre model to a new hybrid model of presentation. The Dukes will continue to produce a ‘Homegrown’ Christmas performance and Park </w:t>
      </w:r>
      <w:r w:rsidR="004C3491">
        <w:t>S</w:t>
      </w:r>
      <w:r w:rsidRPr="00262435">
        <w:t>how and work in co</w:t>
      </w:r>
      <w:r w:rsidR="00100835">
        <w:t>-</w:t>
      </w:r>
      <w:r w:rsidRPr="00262435">
        <w:t>production/in association to create work</w:t>
      </w:r>
      <w:r w:rsidR="004C3491">
        <w:t>.</w:t>
      </w:r>
      <w:r w:rsidRPr="00262435">
        <w:t xml:space="preserve"> </w:t>
      </w:r>
      <w:r w:rsidR="004C3491">
        <w:t>T</w:t>
      </w:r>
      <w:r w:rsidRPr="00262435">
        <w:t>his reduced producing model will be surrounded by a new</w:t>
      </w:r>
      <w:r w:rsidR="004C3491">
        <w:t xml:space="preserve">, </w:t>
      </w:r>
      <w:r w:rsidRPr="00262435">
        <w:t>more expansive programme of received work from companies and artists</w:t>
      </w:r>
      <w:r w:rsidR="004C3491">
        <w:t>,</w:t>
      </w:r>
      <w:r w:rsidRPr="00262435">
        <w:t xml:space="preserve"> hosting high quality performance and diverse storytelling. </w:t>
      </w:r>
    </w:p>
    <w:p w14:paraId="7804A292" w14:textId="661AD4D1" w:rsidR="003D4436" w:rsidRPr="00262435" w:rsidRDefault="003D4436" w:rsidP="003D4436">
      <w:pPr>
        <w:tabs>
          <w:tab w:val="left" w:pos="6237"/>
        </w:tabs>
        <w:spacing w:after="200"/>
      </w:pPr>
      <w:r w:rsidRPr="00262435">
        <w:t xml:space="preserve">The Dukes will also take a </w:t>
      </w:r>
      <w:r>
        <w:t>new</w:t>
      </w:r>
      <w:r w:rsidRPr="00262435">
        <w:t xml:space="preserve"> approach to talent development. Working with both local artists to support creative work made in and for Lancaster</w:t>
      </w:r>
      <w:r w:rsidR="004C3491">
        <w:t>,</w:t>
      </w:r>
      <w:r w:rsidRPr="00262435">
        <w:t xml:space="preserve"> as well as identifying artists to work with as Creative Collaborators. These Creative Collaborators will be artists that the Dukes will work with over a period of time to develop new work and to support the development of local artists. The Dukes will also identify resident artists who will be part of the Dukes with office space, presentation of work and joint partnerships.</w:t>
      </w:r>
    </w:p>
    <w:p w14:paraId="64DDBD30" w14:textId="09FF9C1D" w:rsidR="003D4436" w:rsidRDefault="003D4436" w:rsidP="003D4436">
      <w:pPr>
        <w:tabs>
          <w:tab w:val="left" w:pos="6237"/>
        </w:tabs>
        <w:spacing w:after="200"/>
      </w:pPr>
      <w:r w:rsidRPr="00262435">
        <w:t xml:space="preserve">The Dukes will continue its strong commitment to creative engagement focused on enriching the lives of local young people and communities. The Dukes will provide workshops and classes for local young people with a range of skills and ages supporting them to achieve </w:t>
      </w:r>
      <w:r w:rsidR="004C3491">
        <w:t xml:space="preserve">an </w:t>
      </w:r>
      <w:r w:rsidRPr="00262435">
        <w:t xml:space="preserve">Arts Award. The Dukes will continue to develop ground breaking community engagement programmes working with those communities most in need and highlighted as areas for creative exploration. </w:t>
      </w:r>
    </w:p>
    <w:p w14:paraId="29AFC7E9" w14:textId="77777777" w:rsidR="003D4436" w:rsidRPr="00262435" w:rsidRDefault="003D4436" w:rsidP="003D4436">
      <w:pPr>
        <w:tabs>
          <w:tab w:val="left" w:pos="6237"/>
        </w:tabs>
        <w:spacing w:after="200"/>
      </w:pPr>
      <w:r w:rsidRPr="00E41216">
        <w:t>Staff are or</w:t>
      </w:r>
      <w:r>
        <w:t xml:space="preserve">ganised by departments: Programming, </w:t>
      </w:r>
      <w:r w:rsidRPr="00E41216">
        <w:t>Marketing</w:t>
      </w:r>
      <w:r>
        <w:t xml:space="preserve"> &amp; Communications</w:t>
      </w:r>
      <w:r w:rsidRPr="00E41216">
        <w:t xml:space="preserve">, </w:t>
      </w:r>
      <w:r>
        <w:t>Creative Learning</w:t>
      </w:r>
      <w:r w:rsidRPr="00E41216">
        <w:t>, Technica</w:t>
      </w:r>
      <w:r>
        <w:t>l, Front of House</w:t>
      </w:r>
      <w:r w:rsidRPr="00E41216">
        <w:t xml:space="preserve"> and Finance. </w:t>
      </w:r>
      <w:r>
        <w:t xml:space="preserve">The Dukes </w:t>
      </w:r>
      <w:r w:rsidRPr="00E41216">
        <w:t xml:space="preserve">currently </w:t>
      </w:r>
      <w:r w:rsidRPr="00BC7357">
        <w:t>employs 1</w:t>
      </w:r>
      <w:r>
        <w:t>4</w:t>
      </w:r>
      <w:r w:rsidRPr="00BC7357">
        <w:t xml:space="preserve"> full-time, </w:t>
      </w:r>
      <w:r>
        <w:t>11</w:t>
      </w:r>
      <w:r w:rsidRPr="00BC7357">
        <w:t xml:space="preserve"> part-time and </w:t>
      </w:r>
      <w:r>
        <w:t>15</w:t>
      </w:r>
      <w:r w:rsidRPr="00BC7357">
        <w:t xml:space="preserve"> casual staff and has over </w:t>
      </w:r>
      <w:r>
        <w:t>60</w:t>
      </w:r>
      <w:r w:rsidRPr="00BC7357">
        <w:t xml:space="preserve"> volunteers who</w:t>
      </w:r>
      <w:r w:rsidRPr="00E41216">
        <w:t xml:space="preserve"> donate their time and services.</w:t>
      </w:r>
    </w:p>
    <w:p w14:paraId="5794F795" w14:textId="30290CFC" w:rsidR="003D4436" w:rsidRPr="00351C74" w:rsidRDefault="003D4436" w:rsidP="003D4436">
      <w:pPr>
        <w:tabs>
          <w:tab w:val="left" w:pos="6237"/>
        </w:tabs>
        <w:spacing w:after="200"/>
      </w:pPr>
      <w:r w:rsidRPr="00262435">
        <w:t xml:space="preserve">The Dukes Playhouse Trust, which is a registered charity, manages </w:t>
      </w:r>
      <w:r w:rsidR="004C3491">
        <w:t>T</w:t>
      </w:r>
      <w:r w:rsidRPr="00262435">
        <w:t xml:space="preserve">he Dukes and company limited by guarantee and is core funded by Arts Council of England and Lancaster City Council. This accounts for approximately 30% of turnover (2019-20). Earned income is generated through </w:t>
      </w:r>
      <w:r w:rsidR="004C3491">
        <w:t>B</w:t>
      </w:r>
      <w:r w:rsidRPr="00262435">
        <w:t xml:space="preserve">ox </w:t>
      </w:r>
      <w:r w:rsidR="004C3491">
        <w:t>O</w:t>
      </w:r>
      <w:r w:rsidRPr="00262435">
        <w:t xml:space="preserve">ffice, room hire and fees and projects are supported by grants and expansive programme of individual giving and corporate sponsorship. </w:t>
      </w:r>
    </w:p>
    <w:p w14:paraId="7EB1139A" w14:textId="6FB51A0E" w:rsidR="00A625DF" w:rsidRDefault="00A625DF" w:rsidP="00100835">
      <w:pPr>
        <w:spacing w:after="200"/>
        <w:rPr>
          <w:rFonts w:cs="Arial"/>
          <w:b/>
          <w:sz w:val="28"/>
          <w:szCs w:val="28"/>
        </w:rPr>
      </w:pPr>
    </w:p>
    <w:sectPr w:rsidR="00A625DF" w:rsidSect="002415DE">
      <w:footerReference w:type="default" r:id="rId8"/>
      <w:headerReference w:type="first" r:id="rId9"/>
      <w:footerReference w:type="first" r:id="rId10"/>
      <w:pgSz w:w="11906" w:h="16838"/>
      <w:pgMar w:top="284" w:right="709" w:bottom="1440" w:left="709"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FC54B" w14:textId="77777777" w:rsidR="005E5B41" w:rsidRDefault="005E5B41" w:rsidP="00464471">
      <w:pPr>
        <w:spacing w:line="240" w:lineRule="auto"/>
      </w:pPr>
      <w:r>
        <w:separator/>
      </w:r>
    </w:p>
  </w:endnote>
  <w:endnote w:type="continuationSeparator" w:id="0">
    <w:p w14:paraId="2E13CD9C" w14:textId="77777777" w:rsidR="005E5B41" w:rsidRDefault="005E5B41" w:rsidP="00464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1194778"/>
      <w:docPartObj>
        <w:docPartGallery w:val="Page Numbers (Bottom of Page)"/>
        <w:docPartUnique/>
      </w:docPartObj>
    </w:sdtPr>
    <w:sdtEndPr>
      <w:rPr>
        <w:noProof/>
      </w:rPr>
    </w:sdtEndPr>
    <w:sdtContent>
      <w:p w14:paraId="17FAFA84" w14:textId="77777777" w:rsidR="00902C21" w:rsidRDefault="00902C21">
        <w:pPr>
          <w:pStyle w:val="Footer"/>
          <w:jc w:val="right"/>
        </w:pPr>
        <w:r>
          <w:fldChar w:fldCharType="begin"/>
        </w:r>
        <w:r>
          <w:instrText xml:space="preserve"> PAGE   \* MERGEFORMAT </w:instrText>
        </w:r>
        <w:r>
          <w:fldChar w:fldCharType="separate"/>
        </w:r>
        <w:r w:rsidR="003D4436">
          <w:rPr>
            <w:noProof/>
          </w:rPr>
          <w:t>2</w:t>
        </w:r>
        <w:r>
          <w:rPr>
            <w:noProof/>
          </w:rPr>
          <w:fldChar w:fldCharType="end"/>
        </w:r>
      </w:p>
    </w:sdtContent>
  </w:sdt>
  <w:p w14:paraId="1269699B" w14:textId="77777777" w:rsidR="00902C21" w:rsidRDefault="00902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B51F" w14:textId="060C0661" w:rsidR="001D7F4D" w:rsidRPr="001D7F4D" w:rsidRDefault="001D7F4D" w:rsidP="001D7F4D">
    <w:pPr>
      <w:spacing w:after="200"/>
      <w:jc w:val="center"/>
      <w:rPr>
        <w:rFonts w:cs="Arial"/>
        <w:b/>
        <w:color w:val="000000" w:themeColor="text1"/>
        <w:sz w:val="24"/>
        <w:szCs w:val="24"/>
      </w:rPr>
    </w:pPr>
    <w:hyperlink r:id="rId1" w:history="1">
      <w:r w:rsidRPr="001D7F4D">
        <w:rPr>
          <w:rStyle w:val="Hyperlink"/>
          <w:rFonts w:cs="Arial"/>
          <w:b/>
          <w:color w:val="000000" w:themeColor="text1"/>
          <w:sz w:val="24"/>
          <w:szCs w:val="24"/>
        </w:rPr>
        <w:t>www.dukeslancaster.org</w:t>
      </w:r>
    </w:hyperlink>
    <w:r w:rsidRPr="001D7F4D">
      <w:rPr>
        <w:rFonts w:cs="Arial"/>
        <w:b/>
        <w:color w:val="000000" w:themeColor="text1"/>
        <w:sz w:val="24"/>
        <w:szCs w:val="24"/>
      </w:rPr>
      <w:t xml:space="preserve"> | </w:t>
    </w:r>
    <w:hyperlink r:id="rId2" w:history="1">
      <w:r w:rsidRPr="001D7F4D">
        <w:rPr>
          <w:rStyle w:val="Hyperlink"/>
          <w:rFonts w:cs="Arial"/>
          <w:b/>
          <w:color w:val="000000" w:themeColor="text1"/>
          <w:sz w:val="24"/>
          <w:szCs w:val="24"/>
        </w:rPr>
        <w:t>tickets@dukeslancaster.org</w:t>
      </w:r>
    </w:hyperlink>
    <w:r w:rsidRPr="001D7F4D">
      <w:rPr>
        <w:rFonts w:cs="Arial"/>
        <w:b/>
        <w:color w:val="000000" w:themeColor="text1"/>
        <w:sz w:val="24"/>
        <w:szCs w:val="24"/>
      </w:rPr>
      <w:t xml:space="preserve"> | </w:t>
    </w:r>
    <w:r w:rsidRPr="001D7F4D">
      <w:rPr>
        <w:rFonts w:cs="Arial"/>
        <w:b/>
        <w:color w:val="000000" w:themeColor="text1"/>
        <w:sz w:val="24"/>
        <w:szCs w:val="24"/>
        <w:u w:val="single"/>
      </w:rPr>
      <w:t>01524 598500</w:t>
    </w:r>
  </w:p>
  <w:p w14:paraId="700F573E" w14:textId="77777777" w:rsidR="001D7F4D" w:rsidRDefault="001D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BB26D" w14:textId="77777777" w:rsidR="005E5B41" w:rsidRDefault="005E5B41" w:rsidP="00464471">
      <w:pPr>
        <w:spacing w:line="240" w:lineRule="auto"/>
      </w:pPr>
      <w:r>
        <w:separator/>
      </w:r>
    </w:p>
  </w:footnote>
  <w:footnote w:type="continuationSeparator" w:id="0">
    <w:p w14:paraId="3969BD12" w14:textId="77777777" w:rsidR="005E5B41" w:rsidRDefault="005E5B41" w:rsidP="00464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1521" w14:textId="77777777" w:rsidR="003D4436" w:rsidRDefault="003D4436">
    <w:pPr>
      <w:pStyle w:val="Header"/>
    </w:pPr>
    <w:r>
      <w:rPr>
        <w:noProof/>
        <w:lang w:eastAsia="en-GB"/>
      </w:rPr>
      <w:drawing>
        <wp:inline distT="0" distB="0" distL="0" distR="0" wp14:anchorId="10F4FA6D" wp14:editId="2137EC29">
          <wp:extent cx="2036445" cy="15119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1511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58F9"/>
    <w:multiLevelType w:val="hybridMultilevel"/>
    <w:tmpl w:val="4FBC69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82DAD"/>
    <w:multiLevelType w:val="hybridMultilevel"/>
    <w:tmpl w:val="F34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6218C"/>
    <w:multiLevelType w:val="hybridMultilevel"/>
    <w:tmpl w:val="7000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4797E"/>
    <w:multiLevelType w:val="hybridMultilevel"/>
    <w:tmpl w:val="7132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F43B4"/>
    <w:multiLevelType w:val="hybridMultilevel"/>
    <w:tmpl w:val="1588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7BD"/>
    <w:multiLevelType w:val="hybridMultilevel"/>
    <w:tmpl w:val="AEEE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62E33"/>
    <w:multiLevelType w:val="hybridMultilevel"/>
    <w:tmpl w:val="5124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73082"/>
    <w:multiLevelType w:val="hybridMultilevel"/>
    <w:tmpl w:val="5FC8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0072D"/>
    <w:multiLevelType w:val="hybridMultilevel"/>
    <w:tmpl w:val="8C2C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15E38"/>
    <w:multiLevelType w:val="hybridMultilevel"/>
    <w:tmpl w:val="AB4A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85D72"/>
    <w:multiLevelType w:val="hybridMultilevel"/>
    <w:tmpl w:val="65C250A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D2B15A5"/>
    <w:multiLevelType w:val="hybridMultilevel"/>
    <w:tmpl w:val="30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16977"/>
    <w:multiLevelType w:val="hybridMultilevel"/>
    <w:tmpl w:val="9CF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A0EDD"/>
    <w:multiLevelType w:val="hybridMultilevel"/>
    <w:tmpl w:val="EC400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C5B78"/>
    <w:multiLevelType w:val="hybridMultilevel"/>
    <w:tmpl w:val="01F0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B2F9E"/>
    <w:multiLevelType w:val="hybridMultilevel"/>
    <w:tmpl w:val="FD86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D0BA3"/>
    <w:multiLevelType w:val="hybridMultilevel"/>
    <w:tmpl w:val="57364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492238"/>
    <w:multiLevelType w:val="hybridMultilevel"/>
    <w:tmpl w:val="DC46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14E63"/>
    <w:multiLevelType w:val="hybridMultilevel"/>
    <w:tmpl w:val="4672E0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21A2C"/>
    <w:multiLevelType w:val="hybridMultilevel"/>
    <w:tmpl w:val="AEB6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B77E9"/>
    <w:multiLevelType w:val="hybridMultilevel"/>
    <w:tmpl w:val="D5FA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73E4B"/>
    <w:multiLevelType w:val="hybridMultilevel"/>
    <w:tmpl w:val="1424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97D2B"/>
    <w:multiLevelType w:val="hybridMultilevel"/>
    <w:tmpl w:val="7C8ECC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0662BEE"/>
    <w:multiLevelType w:val="hybridMultilevel"/>
    <w:tmpl w:val="F546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1701"/>
    <w:multiLevelType w:val="hybridMultilevel"/>
    <w:tmpl w:val="89C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06741"/>
    <w:multiLevelType w:val="hybridMultilevel"/>
    <w:tmpl w:val="ECC604EE"/>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2F7440"/>
    <w:multiLevelType w:val="hybridMultilevel"/>
    <w:tmpl w:val="E99CA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17D6B"/>
    <w:multiLevelType w:val="hybridMultilevel"/>
    <w:tmpl w:val="66BE0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DC6F4E"/>
    <w:multiLevelType w:val="hybridMultilevel"/>
    <w:tmpl w:val="AD8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02B74"/>
    <w:multiLevelType w:val="hybridMultilevel"/>
    <w:tmpl w:val="8C0E76F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E62B9"/>
    <w:multiLevelType w:val="hybridMultilevel"/>
    <w:tmpl w:val="057496D2"/>
    <w:lvl w:ilvl="0" w:tplc="A4B66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424A5"/>
    <w:multiLevelType w:val="hybridMultilevel"/>
    <w:tmpl w:val="FF947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45564"/>
    <w:multiLevelType w:val="hybridMultilevel"/>
    <w:tmpl w:val="3D6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616BA"/>
    <w:multiLevelType w:val="hybridMultilevel"/>
    <w:tmpl w:val="411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14632"/>
    <w:multiLevelType w:val="hybridMultilevel"/>
    <w:tmpl w:val="665EAB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26FFC"/>
    <w:multiLevelType w:val="hybridMultilevel"/>
    <w:tmpl w:val="DC3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4"/>
  </w:num>
  <w:num w:numId="4">
    <w:abstractNumId w:val="32"/>
  </w:num>
  <w:num w:numId="5">
    <w:abstractNumId w:val="3"/>
  </w:num>
  <w:num w:numId="6">
    <w:abstractNumId w:val="30"/>
  </w:num>
  <w:num w:numId="7">
    <w:abstractNumId w:val="16"/>
  </w:num>
  <w:num w:numId="8">
    <w:abstractNumId w:val="11"/>
  </w:num>
  <w:num w:numId="9">
    <w:abstractNumId w:val="4"/>
  </w:num>
  <w:num w:numId="10">
    <w:abstractNumId w:val="34"/>
  </w:num>
  <w:num w:numId="11">
    <w:abstractNumId w:val="17"/>
  </w:num>
  <w:num w:numId="12">
    <w:abstractNumId w:val="35"/>
  </w:num>
  <w:num w:numId="13">
    <w:abstractNumId w:val="2"/>
  </w:num>
  <w:num w:numId="14">
    <w:abstractNumId w:val="18"/>
  </w:num>
  <w:num w:numId="15">
    <w:abstractNumId w:val="8"/>
  </w:num>
  <w:num w:numId="16">
    <w:abstractNumId w:val="6"/>
  </w:num>
  <w:num w:numId="17">
    <w:abstractNumId w:val="20"/>
  </w:num>
  <w:num w:numId="18">
    <w:abstractNumId w:val="9"/>
  </w:num>
  <w:num w:numId="19">
    <w:abstractNumId w:val="1"/>
  </w:num>
  <w:num w:numId="20">
    <w:abstractNumId w:val="23"/>
  </w:num>
  <w:num w:numId="21">
    <w:abstractNumId w:val="14"/>
  </w:num>
  <w:num w:numId="22">
    <w:abstractNumId w:val="28"/>
  </w:num>
  <w:num w:numId="23">
    <w:abstractNumId w:val="15"/>
  </w:num>
  <w:num w:numId="24">
    <w:abstractNumId w:val="7"/>
  </w:num>
  <w:num w:numId="25">
    <w:abstractNumId w:val="25"/>
  </w:num>
  <w:num w:numId="26">
    <w:abstractNumId w:val="13"/>
  </w:num>
  <w:num w:numId="27">
    <w:abstractNumId w:val="19"/>
  </w:num>
  <w:num w:numId="28">
    <w:abstractNumId w:val="29"/>
  </w:num>
  <w:num w:numId="29">
    <w:abstractNumId w:val="0"/>
  </w:num>
  <w:num w:numId="30">
    <w:abstractNumId w:val="31"/>
  </w:num>
  <w:num w:numId="31">
    <w:abstractNumId w:val="26"/>
  </w:num>
  <w:num w:numId="32">
    <w:abstractNumId w:val="27"/>
  </w:num>
  <w:num w:numId="33">
    <w:abstractNumId w:val="22"/>
  </w:num>
  <w:num w:numId="34">
    <w:abstractNumId w:val="10"/>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71"/>
    <w:rsid w:val="00045B44"/>
    <w:rsid w:val="00083B29"/>
    <w:rsid w:val="000B6B08"/>
    <w:rsid w:val="000C3647"/>
    <w:rsid w:val="00100835"/>
    <w:rsid w:val="001D7F4D"/>
    <w:rsid w:val="002415DE"/>
    <w:rsid w:val="002806E8"/>
    <w:rsid w:val="003662C5"/>
    <w:rsid w:val="00393996"/>
    <w:rsid w:val="003951B7"/>
    <w:rsid w:val="003D4436"/>
    <w:rsid w:val="00431990"/>
    <w:rsid w:val="004360DF"/>
    <w:rsid w:val="00464471"/>
    <w:rsid w:val="00490216"/>
    <w:rsid w:val="004A5304"/>
    <w:rsid w:val="004B1CA1"/>
    <w:rsid w:val="004B2F9F"/>
    <w:rsid w:val="004C2570"/>
    <w:rsid w:val="004C3491"/>
    <w:rsid w:val="005128D6"/>
    <w:rsid w:val="005615F6"/>
    <w:rsid w:val="005E5B41"/>
    <w:rsid w:val="00615DAC"/>
    <w:rsid w:val="00642BF3"/>
    <w:rsid w:val="00646AEE"/>
    <w:rsid w:val="00682824"/>
    <w:rsid w:val="00691DFB"/>
    <w:rsid w:val="007121AD"/>
    <w:rsid w:val="00757525"/>
    <w:rsid w:val="007C18FA"/>
    <w:rsid w:val="007F3EB2"/>
    <w:rsid w:val="00822AAB"/>
    <w:rsid w:val="008F7CB1"/>
    <w:rsid w:val="00902C21"/>
    <w:rsid w:val="0092054D"/>
    <w:rsid w:val="00936540"/>
    <w:rsid w:val="0098452B"/>
    <w:rsid w:val="00997ECB"/>
    <w:rsid w:val="009A424C"/>
    <w:rsid w:val="009E002C"/>
    <w:rsid w:val="00A03269"/>
    <w:rsid w:val="00A625DF"/>
    <w:rsid w:val="00AF0D9A"/>
    <w:rsid w:val="00B81158"/>
    <w:rsid w:val="00BD5DA9"/>
    <w:rsid w:val="00BF42F3"/>
    <w:rsid w:val="00C80902"/>
    <w:rsid w:val="00E06218"/>
    <w:rsid w:val="00E06A93"/>
    <w:rsid w:val="00E22ADB"/>
    <w:rsid w:val="00E73519"/>
    <w:rsid w:val="00EF64AF"/>
    <w:rsid w:val="00F0182F"/>
    <w:rsid w:val="00F46E5C"/>
    <w:rsid w:val="00FA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4:docId w14:val="304FE4DD"/>
  <w15:docId w15:val="{D8F93A1F-8946-4ED0-850B-7124DE47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5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w:autoRedefine/>
    <w:uiPriority w:val="1"/>
    <w:qFormat/>
    <w:rsid w:val="003662C5"/>
    <w:pPr>
      <w:spacing w:after="0" w:line="240" w:lineRule="auto"/>
    </w:pPr>
    <w:rPr>
      <w:rFonts w:eastAsia="Times New Roman" w:cs="Times New Roman"/>
      <w:sz w:val="23"/>
      <w:szCs w:val="24"/>
    </w:rPr>
  </w:style>
  <w:style w:type="paragraph" w:styleId="Header">
    <w:name w:val="header"/>
    <w:basedOn w:val="Normal"/>
    <w:link w:val="HeaderChar"/>
    <w:uiPriority w:val="99"/>
    <w:unhideWhenUsed/>
    <w:rsid w:val="00464471"/>
    <w:pPr>
      <w:tabs>
        <w:tab w:val="center" w:pos="4513"/>
        <w:tab w:val="right" w:pos="9026"/>
      </w:tabs>
      <w:spacing w:line="240" w:lineRule="auto"/>
    </w:pPr>
  </w:style>
  <w:style w:type="character" w:customStyle="1" w:styleId="HeaderChar">
    <w:name w:val="Header Char"/>
    <w:basedOn w:val="DefaultParagraphFont"/>
    <w:link w:val="Header"/>
    <w:uiPriority w:val="99"/>
    <w:rsid w:val="00464471"/>
  </w:style>
  <w:style w:type="paragraph" w:styleId="Footer">
    <w:name w:val="footer"/>
    <w:basedOn w:val="Normal"/>
    <w:link w:val="FooterChar"/>
    <w:uiPriority w:val="99"/>
    <w:unhideWhenUsed/>
    <w:rsid w:val="00464471"/>
    <w:pPr>
      <w:tabs>
        <w:tab w:val="center" w:pos="4513"/>
        <w:tab w:val="right" w:pos="9026"/>
      </w:tabs>
      <w:spacing w:line="240" w:lineRule="auto"/>
    </w:pPr>
  </w:style>
  <w:style w:type="character" w:customStyle="1" w:styleId="FooterChar">
    <w:name w:val="Footer Char"/>
    <w:basedOn w:val="DefaultParagraphFont"/>
    <w:link w:val="Footer"/>
    <w:uiPriority w:val="99"/>
    <w:rsid w:val="00464471"/>
  </w:style>
  <w:style w:type="paragraph" w:styleId="BalloonText">
    <w:name w:val="Balloon Text"/>
    <w:basedOn w:val="Normal"/>
    <w:link w:val="BalloonTextChar"/>
    <w:uiPriority w:val="99"/>
    <w:semiHidden/>
    <w:unhideWhenUsed/>
    <w:rsid w:val="004644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471"/>
    <w:rPr>
      <w:rFonts w:ascii="Tahoma" w:hAnsi="Tahoma" w:cs="Tahoma"/>
      <w:sz w:val="16"/>
      <w:szCs w:val="16"/>
    </w:rPr>
  </w:style>
  <w:style w:type="character" w:styleId="Hyperlink">
    <w:name w:val="Hyperlink"/>
    <w:basedOn w:val="DefaultParagraphFont"/>
    <w:uiPriority w:val="99"/>
    <w:unhideWhenUsed/>
    <w:rsid w:val="00464471"/>
    <w:rPr>
      <w:color w:val="0000FF" w:themeColor="hyperlink"/>
      <w:u w:val="single"/>
    </w:rPr>
  </w:style>
  <w:style w:type="character" w:customStyle="1" w:styleId="street-address">
    <w:name w:val="street-address"/>
    <w:basedOn w:val="DefaultParagraphFont"/>
    <w:rsid w:val="00B81158"/>
  </w:style>
  <w:style w:type="character" w:customStyle="1" w:styleId="apple-converted-space">
    <w:name w:val="apple-converted-space"/>
    <w:basedOn w:val="DefaultParagraphFont"/>
    <w:rsid w:val="00B81158"/>
  </w:style>
  <w:style w:type="character" w:customStyle="1" w:styleId="locality">
    <w:name w:val="locality"/>
    <w:basedOn w:val="DefaultParagraphFont"/>
    <w:rsid w:val="00B81158"/>
  </w:style>
  <w:style w:type="paragraph" w:styleId="ListParagraph">
    <w:name w:val="List Paragraph"/>
    <w:basedOn w:val="Normal"/>
    <w:uiPriority w:val="34"/>
    <w:qFormat/>
    <w:rsid w:val="00902C21"/>
    <w:pPr>
      <w:ind w:left="720"/>
      <w:contextualSpacing/>
    </w:pPr>
    <w:rPr>
      <w:rFonts w:ascii="Calibri" w:eastAsia="Calibri" w:hAnsi="Calibri" w:cs="Times New Roman"/>
    </w:rPr>
  </w:style>
  <w:style w:type="paragraph" w:styleId="BodyText">
    <w:name w:val="Body Text"/>
    <w:basedOn w:val="Normal"/>
    <w:link w:val="BodyTextChar"/>
    <w:rsid w:val="004C2570"/>
    <w:pPr>
      <w:spacing w:line="240" w:lineRule="auto"/>
    </w:pPr>
    <w:rPr>
      <w:rFonts w:ascii="Trebuchet MS" w:eastAsia="Times New Roman" w:hAnsi="Trebuchet MS" w:cs="Times New Roman"/>
      <w:sz w:val="24"/>
      <w:szCs w:val="20"/>
      <w:lang w:val="en-US"/>
    </w:rPr>
  </w:style>
  <w:style w:type="character" w:customStyle="1" w:styleId="BodyTextChar">
    <w:name w:val="Body Text Char"/>
    <w:basedOn w:val="DefaultParagraphFont"/>
    <w:link w:val="BodyText"/>
    <w:rsid w:val="004C2570"/>
    <w:rPr>
      <w:rFonts w:ascii="Trebuchet MS" w:eastAsia="Times New Roman" w:hAnsi="Trebuchet MS" w:cs="Times New Roman"/>
      <w:sz w:val="24"/>
      <w:szCs w:val="20"/>
      <w:lang w:val="en-US"/>
    </w:rPr>
  </w:style>
  <w:style w:type="character" w:styleId="UnresolvedMention">
    <w:name w:val="Unresolved Mention"/>
    <w:basedOn w:val="DefaultParagraphFont"/>
    <w:uiPriority w:val="99"/>
    <w:semiHidden/>
    <w:unhideWhenUsed/>
    <w:rsid w:val="001D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01888">
      <w:bodyDiv w:val="1"/>
      <w:marLeft w:val="0"/>
      <w:marRight w:val="0"/>
      <w:marTop w:val="0"/>
      <w:marBottom w:val="0"/>
      <w:divBdr>
        <w:top w:val="none" w:sz="0" w:space="0" w:color="auto"/>
        <w:left w:val="none" w:sz="0" w:space="0" w:color="auto"/>
        <w:bottom w:val="none" w:sz="0" w:space="0" w:color="auto"/>
        <w:right w:val="none" w:sz="0" w:space="0" w:color="auto"/>
      </w:divBdr>
    </w:div>
    <w:div w:id="12520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tickets@dukeslancaster.org" TargetMode="External"/><Relationship Id="rId1" Type="http://schemas.openxmlformats.org/officeDocument/2006/relationships/hyperlink" Target="http://www.dukeslanca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751E-7A20-4A84-98A4-E9BB27A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Parker</dc:creator>
  <cp:lastModifiedBy>Kelly Thurston</cp:lastModifiedBy>
  <cp:revision>4</cp:revision>
  <cp:lastPrinted>2015-08-28T13:31:00Z</cp:lastPrinted>
  <dcterms:created xsi:type="dcterms:W3CDTF">2020-08-17T13:30:00Z</dcterms:created>
  <dcterms:modified xsi:type="dcterms:W3CDTF">2020-08-18T10:41:00Z</dcterms:modified>
</cp:coreProperties>
</file>